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D2FB9" w14:textId="77777777" w:rsidR="00A309E0" w:rsidRPr="00F222E7" w:rsidRDefault="000767A7">
      <w:pPr>
        <w:spacing w:after="0"/>
        <w:jc w:val="both"/>
        <w:rPr>
          <w:rFonts w:ascii="Arial" w:eastAsia="Arial" w:hAnsi="Arial" w:cs="Arial"/>
          <w:b/>
          <w:lang w:val="sk-SK"/>
        </w:rPr>
      </w:pPr>
      <w:r w:rsidRPr="00F222E7">
        <w:rPr>
          <w:noProof/>
          <w:lang w:val="sk-SK"/>
        </w:rPr>
        <w:drawing>
          <wp:anchor distT="0" distB="0" distL="114300" distR="114300" simplePos="0" relativeHeight="251658240" behindDoc="0" locked="0" layoutInCell="1" hidden="0" allowOverlap="1" wp14:anchorId="6C8311EC" wp14:editId="7B536C83">
            <wp:simplePos x="0" y="0"/>
            <wp:positionH relativeFrom="column">
              <wp:posOffset>-20954</wp:posOffset>
            </wp:positionH>
            <wp:positionV relativeFrom="paragraph">
              <wp:posOffset>152400</wp:posOffset>
            </wp:positionV>
            <wp:extent cx="2505075" cy="409575"/>
            <wp:effectExtent l="0" t="0" r="0" b="0"/>
            <wp:wrapSquare wrapText="bothSides" distT="0" distB="0" distL="114300" distR="114300"/>
            <wp:docPr id="1" name="image1.png" descr="\\crestcommunications-my.sharepoint.com@SSL\DavWWWRoot\personal\dokumenty_crestcom_cz\Documents\PR-Reality\Mint Investments\Logo MINT Investment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crestcommunications-my.sharepoint.com@SSL\DavWWWRoot\personal\dokumenty_crestcom_cz\Documents\PR-Reality\Mint Investments\Logo MINT Investments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4CD8D8" w14:textId="77777777" w:rsidR="00A309E0" w:rsidRPr="00F222E7" w:rsidRDefault="00A309E0">
      <w:pPr>
        <w:spacing w:after="0"/>
        <w:jc w:val="both"/>
        <w:rPr>
          <w:rFonts w:ascii="Arial" w:eastAsia="Arial" w:hAnsi="Arial" w:cs="Arial"/>
          <w:b/>
          <w:lang w:val="sk-SK"/>
        </w:rPr>
      </w:pPr>
    </w:p>
    <w:p w14:paraId="3727D46D" w14:textId="77777777" w:rsidR="00A309E0" w:rsidRPr="00F222E7" w:rsidRDefault="00A309E0">
      <w:pPr>
        <w:spacing w:after="0"/>
        <w:jc w:val="both"/>
        <w:rPr>
          <w:rFonts w:ascii="Arial" w:eastAsia="Arial" w:hAnsi="Arial" w:cs="Arial"/>
          <w:b/>
          <w:lang w:val="sk-SK"/>
        </w:rPr>
      </w:pPr>
    </w:p>
    <w:p w14:paraId="0E0D1A1D" w14:textId="77777777" w:rsidR="00A309E0" w:rsidRPr="00F222E7" w:rsidRDefault="00A309E0">
      <w:pPr>
        <w:spacing w:after="0"/>
        <w:jc w:val="both"/>
        <w:rPr>
          <w:rFonts w:ascii="Arial" w:eastAsia="Arial" w:hAnsi="Arial" w:cs="Arial"/>
          <w:b/>
          <w:sz w:val="26"/>
          <w:szCs w:val="26"/>
          <w:lang w:val="sk-SK"/>
        </w:rPr>
      </w:pPr>
    </w:p>
    <w:p w14:paraId="14C3D0C5" w14:textId="6CE7CFB4" w:rsidR="00A309E0" w:rsidRPr="00F222E7" w:rsidRDefault="000767A7" w:rsidP="00B036C8">
      <w:pPr>
        <w:spacing w:after="0" w:line="320" w:lineRule="atLeast"/>
        <w:jc w:val="both"/>
        <w:rPr>
          <w:rFonts w:ascii="Arial" w:eastAsia="Arial" w:hAnsi="Arial" w:cs="Arial"/>
          <w:b/>
          <w:sz w:val="26"/>
          <w:szCs w:val="26"/>
          <w:lang w:val="sk-SK"/>
        </w:rPr>
      </w:pPr>
      <w:r w:rsidRPr="00F222E7">
        <w:rPr>
          <w:rFonts w:ascii="Arial" w:eastAsia="Arial" w:hAnsi="Arial" w:cs="Arial"/>
          <w:b/>
          <w:sz w:val="26"/>
          <w:szCs w:val="26"/>
          <w:lang w:val="sk-SK"/>
        </w:rPr>
        <w:t>SKUPINA MINT INVESTMENTS DOKONČILA AKVIZÍCIU ADMINISTRATÍVNEJ BUDOVY FLORENC OFFICE CENTER PRE</w:t>
      </w:r>
      <w:r w:rsidR="00B036C8">
        <w:rPr>
          <w:rFonts w:ascii="Arial" w:eastAsia="Arial" w:hAnsi="Arial" w:cs="Arial"/>
          <w:b/>
          <w:sz w:val="26"/>
          <w:szCs w:val="26"/>
          <w:lang w:val="sk-SK"/>
        </w:rPr>
        <w:t> </w:t>
      </w:r>
      <w:r w:rsidRPr="00F222E7">
        <w:rPr>
          <w:rFonts w:ascii="Arial" w:eastAsia="Arial" w:hAnsi="Arial" w:cs="Arial"/>
          <w:b/>
          <w:sz w:val="26"/>
          <w:szCs w:val="26"/>
          <w:lang w:val="sk-SK"/>
        </w:rPr>
        <w:t>SHINHAN INVESTMENT CORPORATION</w:t>
      </w:r>
    </w:p>
    <w:p w14:paraId="372CD841" w14:textId="469C0D1A" w:rsidR="00A309E0" w:rsidRPr="00F222E7" w:rsidRDefault="000767A7" w:rsidP="00B036C8">
      <w:pPr>
        <w:pBdr>
          <w:bottom w:val="single" w:sz="12" w:space="1" w:color="000000"/>
        </w:pBdr>
        <w:spacing w:after="0" w:line="320" w:lineRule="atLeast"/>
        <w:jc w:val="both"/>
        <w:rPr>
          <w:rFonts w:ascii="Arial" w:eastAsia="Arial" w:hAnsi="Arial" w:cs="Arial"/>
          <w:lang w:val="sk-SK"/>
        </w:rPr>
      </w:pPr>
      <w:bookmarkStart w:id="0" w:name="_gjdgxs" w:colFirst="0" w:colLast="0"/>
      <w:bookmarkEnd w:id="0"/>
      <w:r w:rsidRPr="00F222E7">
        <w:rPr>
          <w:rFonts w:ascii="Arial" w:eastAsia="Arial" w:hAnsi="Arial" w:cs="Arial"/>
          <w:lang w:val="sk-SK"/>
        </w:rPr>
        <w:t>1</w:t>
      </w:r>
      <w:r w:rsidR="00875DF2">
        <w:rPr>
          <w:rFonts w:ascii="Arial" w:eastAsia="Arial" w:hAnsi="Arial" w:cs="Arial"/>
          <w:lang w:val="sk-SK"/>
        </w:rPr>
        <w:t>6</w:t>
      </w:r>
      <w:r w:rsidRPr="00F222E7">
        <w:rPr>
          <w:rFonts w:ascii="Arial" w:eastAsia="Arial" w:hAnsi="Arial" w:cs="Arial"/>
          <w:lang w:val="sk-SK"/>
        </w:rPr>
        <w:t>. januára 2019</w:t>
      </w:r>
    </w:p>
    <w:p w14:paraId="60767D50" w14:textId="0253C8F8" w:rsidR="00A309E0" w:rsidRPr="00F222E7" w:rsidRDefault="000767A7" w:rsidP="007D4035">
      <w:pPr>
        <w:spacing w:after="0" w:line="300" w:lineRule="atLeast"/>
        <w:jc w:val="both"/>
        <w:rPr>
          <w:rFonts w:ascii="Arial" w:eastAsia="Arial" w:hAnsi="Arial" w:cs="Arial"/>
          <w:b/>
          <w:lang w:val="sk-SK"/>
        </w:rPr>
      </w:pPr>
      <w:r w:rsidRPr="00F222E7">
        <w:rPr>
          <w:rFonts w:ascii="Arial" w:eastAsia="Arial" w:hAnsi="Arial" w:cs="Arial"/>
          <w:b/>
          <w:lang w:val="sk-SK"/>
        </w:rPr>
        <w:t xml:space="preserve">Skupina </w:t>
      </w:r>
      <w:proofErr w:type="spellStart"/>
      <w:r w:rsidRPr="00F222E7">
        <w:rPr>
          <w:rFonts w:ascii="Arial" w:eastAsia="Arial" w:hAnsi="Arial" w:cs="Arial"/>
          <w:b/>
          <w:lang w:val="sk-SK"/>
        </w:rPr>
        <w:t>Mint</w:t>
      </w:r>
      <w:proofErr w:type="spellEnd"/>
      <w:r w:rsidRPr="00F222E7">
        <w:rPr>
          <w:rFonts w:ascii="Arial" w:eastAsia="Arial" w:hAnsi="Arial" w:cs="Arial"/>
          <w:b/>
          <w:lang w:val="sk-SK"/>
        </w:rPr>
        <w:t xml:space="preserve"> </w:t>
      </w:r>
      <w:proofErr w:type="spellStart"/>
      <w:r w:rsidRPr="00F222E7">
        <w:rPr>
          <w:rFonts w:ascii="Arial" w:eastAsia="Arial" w:hAnsi="Arial" w:cs="Arial"/>
          <w:b/>
          <w:lang w:val="sk-SK"/>
        </w:rPr>
        <w:t>Investments</w:t>
      </w:r>
      <w:proofErr w:type="spellEnd"/>
      <w:r w:rsidRPr="00F222E7">
        <w:rPr>
          <w:rFonts w:ascii="Arial" w:eastAsia="Arial" w:hAnsi="Arial" w:cs="Arial"/>
          <w:b/>
          <w:lang w:val="sk-SK"/>
        </w:rPr>
        <w:t xml:space="preserve"> dokončila akvizíciu pražskej kancelárskej budovy </w:t>
      </w:r>
      <w:proofErr w:type="spellStart"/>
      <w:r w:rsidRPr="00F222E7">
        <w:rPr>
          <w:rFonts w:ascii="Arial" w:eastAsia="Arial" w:hAnsi="Arial" w:cs="Arial"/>
          <w:b/>
          <w:lang w:val="sk-SK"/>
        </w:rPr>
        <w:t>Florenc</w:t>
      </w:r>
      <w:proofErr w:type="spellEnd"/>
      <w:r w:rsidRPr="00F222E7">
        <w:rPr>
          <w:rFonts w:ascii="Arial" w:eastAsia="Arial" w:hAnsi="Arial" w:cs="Arial"/>
          <w:b/>
          <w:lang w:val="sk-SK"/>
        </w:rPr>
        <w:t xml:space="preserve"> Office Center pre juhokórejskú finančnú skupinu </w:t>
      </w:r>
      <w:proofErr w:type="spellStart"/>
      <w:r w:rsidRPr="00F222E7">
        <w:rPr>
          <w:rFonts w:ascii="Arial" w:eastAsia="Arial" w:hAnsi="Arial" w:cs="Arial"/>
          <w:b/>
          <w:lang w:val="sk-SK"/>
        </w:rPr>
        <w:t>Shinhan</w:t>
      </w:r>
      <w:proofErr w:type="spellEnd"/>
      <w:r w:rsidRPr="00F222E7">
        <w:rPr>
          <w:rFonts w:ascii="Arial" w:eastAsia="Arial" w:hAnsi="Arial" w:cs="Arial"/>
          <w:b/>
          <w:lang w:val="sk-SK"/>
        </w:rPr>
        <w:t xml:space="preserve"> </w:t>
      </w:r>
      <w:proofErr w:type="spellStart"/>
      <w:r w:rsidRPr="00F222E7">
        <w:rPr>
          <w:rFonts w:ascii="Arial" w:eastAsia="Arial" w:hAnsi="Arial" w:cs="Arial"/>
          <w:b/>
          <w:lang w:val="sk-SK"/>
        </w:rPr>
        <w:t>Investment</w:t>
      </w:r>
      <w:proofErr w:type="spellEnd"/>
      <w:r w:rsidRPr="00F222E7">
        <w:rPr>
          <w:rFonts w:ascii="Arial" w:eastAsia="Arial" w:hAnsi="Arial" w:cs="Arial"/>
          <w:b/>
          <w:lang w:val="sk-SK"/>
        </w:rPr>
        <w:t xml:space="preserve"> </w:t>
      </w:r>
      <w:proofErr w:type="spellStart"/>
      <w:r w:rsidRPr="00F222E7">
        <w:rPr>
          <w:rFonts w:ascii="Arial" w:eastAsia="Arial" w:hAnsi="Arial" w:cs="Arial"/>
          <w:b/>
          <w:lang w:val="sk-SK"/>
        </w:rPr>
        <w:t>Corporation</w:t>
      </w:r>
      <w:proofErr w:type="spellEnd"/>
      <w:r w:rsidRPr="00F222E7">
        <w:rPr>
          <w:rFonts w:ascii="Arial" w:eastAsia="Arial" w:hAnsi="Arial" w:cs="Arial"/>
          <w:b/>
          <w:lang w:val="sk-SK"/>
        </w:rPr>
        <w:t xml:space="preserve">. Ide o prvú priamu akvizíciu kórejského investora na českom trhu prémiových nehnuteľností. </w:t>
      </w:r>
      <w:proofErr w:type="spellStart"/>
      <w:r w:rsidRPr="00F222E7">
        <w:rPr>
          <w:rFonts w:ascii="Arial" w:eastAsia="Arial" w:hAnsi="Arial" w:cs="Arial"/>
          <w:b/>
          <w:lang w:val="sk-SK"/>
        </w:rPr>
        <w:t>Mint</w:t>
      </w:r>
      <w:proofErr w:type="spellEnd"/>
      <w:r w:rsidRPr="00F222E7">
        <w:rPr>
          <w:rFonts w:ascii="Arial" w:eastAsia="Arial" w:hAnsi="Arial" w:cs="Arial"/>
          <w:b/>
          <w:lang w:val="sk-SK"/>
        </w:rPr>
        <w:t xml:space="preserve"> pri transakcii zaisťoval poradenstvo a koordináciu zúčastnených strán a teraz bude zodpovedný za </w:t>
      </w:r>
      <w:proofErr w:type="spellStart"/>
      <w:r w:rsidRPr="00F222E7">
        <w:rPr>
          <w:rFonts w:ascii="Arial" w:eastAsia="Arial" w:hAnsi="Arial" w:cs="Arial"/>
          <w:b/>
          <w:lang w:val="sk-SK"/>
        </w:rPr>
        <w:t>asset</w:t>
      </w:r>
      <w:proofErr w:type="spellEnd"/>
      <w:r w:rsidRPr="00F222E7">
        <w:rPr>
          <w:rFonts w:ascii="Arial" w:eastAsia="Arial" w:hAnsi="Arial" w:cs="Arial"/>
          <w:b/>
          <w:lang w:val="sk-SK"/>
        </w:rPr>
        <w:t xml:space="preserve"> management a správu budovy. </w:t>
      </w:r>
      <w:proofErr w:type="spellStart"/>
      <w:r w:rsidRPr="00F222E7">
        <w:rPr>
          <w:rFonts w:ascii="Arial" w:eastAsia="Arial" w:hAnsi="Arial" w:cs="Arial"/>
          <w:b/>
          <w:lang w:val="sk-SK"/>
        </w:rPr>
        <w:t>Seniorné</w:t>
      </w:r>
      <w:proofErr w:type="spellEnd"/>
      <w:r w:rsidRPr="00F222E7">
        <w:rPr>
          <w:rFonts w:ascii="Arial" w:eastAsia="Arial" w:hAnsi="Arial" w:cs="Arial"/>
          <w:b/>
          <w:lang w:val="sk-SK"/>
        </w:rPr>
        <w:t xml:space="preserve"> financovanie poskytla banka </w:t>
      </w:r>
      <w:proofErr w:type="spellStart"/>
      <w:r w:rsidRPr="00F222E7">
        <w:rPr>
          <w:rFonts w:ascii="Arial" w:eastAsia="Arial" w:hAnsi="Arial" w:cs="Arial"/>
          <w:b/>
          <w:lang w:val="sk-SK"/>
        </w:rPr>
        <w:t>Helaba</w:t>
      </w:r>
      <w:proofErr w:type="spellEnd"/>
      <w:r w:rsidRPr="00F222E7">
        <w:rPr>
          <w:rFonts w:ascii="Arial" w:eastAsia="Arial" w:hAnsi="Arial" w:cs="Arial"/>
          <w:b/>
          <w:lang w:val="sk-SK"/>
        </w:rPr>
        <w:t xml:space="preserve">, právne a komerčné poradenstvo kupujúcej strane poskytli spoločnosti </w:t>
      </w:r>
      <w:proofErr w:type="spellStart"/>
      <w:r w:rsidRPr="00F222E7">
        <w:rPr>
          <w:rFonts w:ascii="Arial" w:eastAsia="Arial" w:hAnsi="Arial" w:cs="Arial"/>
          <w:b/>
          <w:lang w:val="sk-SK"/>
        </w:rPr>
        <w:t>White</w:t>
      </w:r>
      <w:proofErr w:type="spellEnd"/>
      <w:r w:rsidRPr="00F222E7">
        <w:rPr>
          <w:rFonts w:ascii="Arial" w:eastAsia="Arial" w:hAnsi="Arial" w:cs="Arial"/>
          <w:b/>
          <w:lang w:val="sk-SK"/>
        </w:rPr>
        <w:t xml:space="preserve"> &amp; </w:t>
      </w:r>
      <w:proofErr w:type="spellStart"/>
      <w:r w:rsidRPr="00F222E7">
        <w:rPr>
          <w:rFonts w:ascii="Arial" w:eastAsia="Arial" w:hAnsi="Arial" w:cs="Arial"/>
          <w:b/>
          <w:lang w:val="sk-SK"/>
        </w:rPr>
        <w:t>Case</w:t>
      </w:r>
      <w:proofErr w:type="spellEnd"/>
      <w:r w:rsidRPr="00F222E7">
        <w:rPr>
          <w:rFonts w:ascii="Arial" w:eastAsia="Arial" w:hAnsi="Arial" w:cs="Arial"/>
          <w:b/>
          <w:lang w:val="sk-SK"/>
        </w:rPr>
        <w:t xml:space="preserve">, resp. </w:t>
      </w:r>
      <w:proofErr w:type="spellStart"/>
      <w:r w:rsidRPr="00F222E7">
        <w:rPr>
          <w:rFonts w:ascii="Arial" w:eastAsia="Arial" w:hAnsi="Arial" w:cs="Arial"/>
          <w:b/>
          <w:lang w:val="sk-SK"/>
        </w:rPr>
        <w:t>Cushman</w:t>
      </w:r>
      <w:proofErr w:type="spellEnd"/>
      <w:r w:rsidRPr="00F222E7">
        <w:rPr>
          <w:rFonts w:ascii="Arial" w:eastAsia="Arial" w:hAnsi="Arial" w:cs="Arial"/>
          <w:b/>
          <w:lang w:val="sk-SK"/>
        </w:rPr>
        <w:t xml:space="preserve"> &amp; </w:t>
      </w:r>
      <w:proofErr w:type="spellStart"/>
      <w:r w:rsidRPr="00F222E7">
        <w:rPr>
          <w:rFonts w:ascii="Arial" w:eastAsia="Arial" w:hAnsi="Arial" w:cs="Arial"/>
          <w:b/>
          <w:lang w:val="sk-SK"/>
        </w:rPr>
        <w:t>Wakefield</w:t>
      </w:r>
      <w:proofErr w:type="spellEnd"/>
      <w:r w:rsidRPr="00F222E7">
        <w:rPr>
          <w:rFonts w:ascii="Arial" w:eastAsia="Arial" w:hAnsi="Arial" w:cs="Arial"/>
          <w:b/>
          <w:lang w:val="sk-SK"/>
        </w:rPr>
        <w:t>.</w:t>
      </w:r>
    </w:p>
    <w:p w14:paraId="3CB259FA" w14:textId="77777777" w:rsidR="00A309E0" w:rsidRPr="00F222E7" w:rsidRDefault="00A309E0" w:rsidP="007D4035">
      <w:pPr>
        <w:spacing w:after="0" w:line="300" w:lineRule="atLeast"/>
        <w:jc w:val="both"/>
        <w:rPr>
          <w:rFonts w:ascii="Arial" w:eastAsia="Arial" w:hAnsi="Arial" w:cs="Arial"/>
          <w:b/>
          <w:lang w:val="sk-SK"/>
        </w:rPr>
      </w:pPr>
    </w:p>
    <w:p w14:paraId="2132A596" w14:textId="39954C9B" w:rsidR="00A309E0" w:rsidRPr="00F222E7" w:rsidRDefault="00464CA1" w:rsidP="007D4035">
      <w:pPr>
        <w:spacing w:after="0" w:line="300" w:lineRule="atLeast"/>
        <w:jc w:val="both"/>
        <w:rPr>
          <w:rFonts w:ascii="Arial" w:eastAsia="Arial" w:hAnsi="Arial" w:cs="Arial"/>
          <w:lang w:val="sk-SK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2FA8AA61" wp14:editId="1B289B3B">
            <wp:simplePos x="0" y="0"/>
            <wp:positionH relativeFrom="margin">
              <wp:posOffset>-4445</wp:posOffset>
            </wp:positionH>
            <wp:positionV relativeFrom="margin">
              <wp:posOffset>3100705</wp:posOffset>
            </wp:positionV>
            <wp:extent cx="1590675" cy="1191895"/>
            <wp:effectExtent l="0" t="0" r="9525" b="82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F03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767A7" w:rsidRPr="00F222E7">
        <w:rPr>
          <w:rFonts w:ascii="Arial" w:eastAsia="Arial" w:hAnsi="Arial" w:cs="Arial"/>
          <w:lang w:val="sk-SK"/>
        </w:rPr>
        <w:t>Florenc</w:t>
      </w:r>
      <w:proofErr w:type="spellEnd"/>
      <w:r w:rsidR="000767A7" w:rsidRPr="00F222E7">
        <w:rPr>
          <w:rFonts w:ascii="Arial" w:eastAsia="Arial" w:hAnsi="Arial" w:cs="Arial"/>
          <w:lang w:val="sk-SK"/>
        </w:rPr>
        <w:t xml:space="preserve"> Office Center je kancelárska budova triedy A na rozhraní Prahy 1 a Prahy 8, ktorá je od roku 2003 sídlom českej centrály KPMG – globálnej audítorskej, účtovnej a</w:t>
      </w:r>
      <w:r w:rsidR="00B036C8">
        <w:rPr>
          <w:rFonts w:ascii="Arial" w:eastAsia="Arial" w:hAnsi="Arial" w:cs="Arial"/>
          <w:lang w:val="sk-SK"/>
        </w:rPr>
        <w:t> </w:t>
      </w:r>
      <w:r w:rsidR="000767A7" w:rsidRPr="00F222E7">
        <w:rPr>
          <w:rFonts w:ascii="Arial" w:eastAsia="Arial" w:hAnsi="Arial" w:cs="Arial"/>
          <w:lang w:val="sk-SK"/>
        </w:rPr>
        <w:t>poradenskej spoločnosti. Budova disponuje 11 000 m</w:t>
      </w:r>
      <w:r w:rsidR="000767A7" w:rsidRPr="00B036C8">
        <w:rPr>
          <w:rFonts w:ascii="Arial" w:eastAsia="Arial" w:hAnsi="Arial" w:cs="Arial"/>
          <w:vertAlign w:val="superscript"/>
          <w:lang w:val="sk-SK"/>
        </w:rPr>
        <w:t>2</w:t>
      </w:r>
      <w:r w:rsidR="000767A7" w:rsidRPr="00F222E7">
        <w:rPr>
          <w:rFonts w:ascii="Arial" w:eastAsia="Arial" w:hAnsi="Arial" w:cs="Arial"/>
          <w:lang w:val="sk-SK"/>
        </w:rPr>
        <w:t xml:space="preserve"> prenajímateľných plôch a takmer 170 parkovacími miestami.</w:t>
      </w:r>
    </w:p>
    <w:p w14:paraId="2F073632" w14:textId="77777777" w:rsidR="00A309E0" w:rsidRPr="00F222E7" w:rsidRDefault="00A309E0" w:rsidP="007D4035">
      <w:pPr>
        <w:spacing w:after="0" w:line="300" w:lineRule="atLeast"/>
        <w:jc w:val="both"/>
        <w:rPr>
          <w:rFonts w:ascii="Arial" w:eastAsia="Arial" w:hAnsi="Arial" w:cs="Arial"/>
          <w:lang w:val="sk-SK"/>
        </w:rPr>
      </w:pPr>
    </w:p>
    <w:p w14:paraId="28EB5011" w14:textId="77777777" w:rsidR="00464CA1" w:rsidRDefault="00464CA1" w:rsidP="007D4035">
      <w:pPr>
        <w:spacing w:after="0" w:line="300" w:lineRule="atLeast"/>
        <w:jc w:val="both"/>
        <w:rPr>
          <w:rFonts w:ascii="Arial" w:eastAsia="Arial" w:hAnsi="Arial" w:cs="Arial"/>
          <w:lang w:val="sk-SK"/>
        </w:rPr>
      </w:pPr>
    </w:p>
    <w:p w14:paraId="42B6F9AD" w14:textId="76D11E89" w:rsidR="00A309E0" w:rsidRPr="00F222E7" w:rsidRDefault="000767A7" w:rsidP="007D4035">
      <w:pPr>
        <w:spacing w:after="0" w:line="300" w:lineRule="atLeast"/>
        <w:jc w:val="both"/>
        <w:rPr>
          <w:rFonts w:ascii="Arial" w:eastAsia="Arial" w:hAnsi="Arial" w:cs="Arial"/>
          <w:i/>
          <w:lang w:val="sk-SK"/>
        </w:rPr>
      </w:pPr>
      <w:bookmarkStart w:id="1" w:name="_GoBack"/>
      <w:bookmarkEnd w:id="1"/>
      <w:r w:rsidRPr="00B036C8">
        <w:rPr>
          <w:rFonts w:ascii="Arial" w:eastAsia="Arial" w:hAnsi="Arial" w:cs="Arial"/>
          <w:lang w:val="sk-SK"/>
        </w:rPr>
        <w:t xml:space="preserve">Akvizíciu okomentoval </w:t>
      </w:r>
      <w:proofErr w:type="spellStart"/>
      <w:r w:rsidRPr="00B036C8">
        <w:rPr>
          <w:rFonts w:ascii="Arial" w:eastAsia="Arial" w:hAnsi="Arial" w:cs="Arial"/>
          <w:lang w:val="sk-SK"/>
        </w:rPr>
        <w:t>Sebastien</w:t>
      </w:r>
      <w:proofErr w:type="spellEnd"/>
      <w:r w:rsidRPr="00B036C8">
        <w:rPr>
          <w:rFonts w:ascii="Arial" w:eastAsia="Arial" w:hAnsi="Arial" w:cs="Arial"/>
          <w:lang w:val="sk-SK"/>
        </w:rPr>
        <w:t xml:space="preserve"> </w:t>
      </w:r>
      <w:proofErr w:type="spellStart"/>
      <w:r w:rsidRPr="00B036C8">
        <w:rPr>
          <w:rFonts w:ascii="Arial" w:eastAsia="Arial" w:hAnsi="Arial" w:cs="Arial"/>
          <w:lang w:val="sk-SK"/>
        </w:rPr>
        <w:t>Dejanovski</w:t>
      </w:r>
      <w:proofErr w:type="spellEnd"/>
      <w:r w:rsidRPr="00B036C8">
        <w:rPr>
          <w:rFonts w:ascii="Arial" w:eastAsia="Arial" w:hAnsi="Arial" w:cs="Arial"/>
          <w:lang w:val="sk-SK"/>
        </w:rPr>
        <w:t xml:space="preserve">, partner skupiny </w:t>
      </w:r>
      <w:proofErr w:type="spellStart"/>
      <w:r w:rsidRPr="00B036C8">
        <w:rPr>
          <w:rFonts w:ascii="Arial" w:eastAsia="Arial" w:hAnsi="Arial" w:cs="Arial"/>
          <w:lang w:val="sk-SK"/>
        </w:rPr>
        <w:t>Mint</w:t>
      </w:r>
      <w:proofErr w:type="spellEnd"/>
      <w:r w:rsidRPr="00B036C8">
        <w:rPr>
          <w:rFonts w:ascii="Arial" w:eastAsia="Arial" w:hAnsi="Arial" w:cs="Arial"/>
          <w:lang w:val="sk-SK"/>
        </w:rPr>
        <w:t xml:space="preserve"> </w:t>
      </w:r>
      <w:proofErr w:type="spellStart"/>
      <w:r w:rsidRPr="00B036C8">
        <w:rPr>
          <w:rFonts w:ascii="Arial" w:eastAsia="Arial" w:hAnsi="Arial" w:cs="Arial"/>
          <w:lang w:val="sk-SK"/>
        </w:rPr>
        <w:t>Investments</w:t>
      </w:r>
      <w:proofErr w:type="spellEnd"/>
      <w:r w:rsidRPr="00B036C8">
        <w:rPr>
          <w:rFonts w:ascii="Arial" w:eastAsia="Arial" w:hAnsi="Arial" w:cs="Arial"/>
          <w:lang w:val="sk-SK"/>
        </w:rPr>
        <w:t>:</w:t>
      </w:r>
      <w:r w:rsidR="00F222E7">
        <w:rPr>
          <w:rFonts w:ascii="Arial" w:eastAsia="Arial" w:hAnsi="Arial" w:cs="Arial"/>
          <w:i/>
          <w:lang w:val="sk-SK"/>
        </w:rPr>
        <w:t xml:space="preserve"> </w:t>
      </w:r>
      <w:r w:rsidRPr="00F222E7">
        <w:rPr>
          <w:rFonts w:ascii="Arial" w:eastAsia="Arial" w:hAnsi="Arial" w:cs="Arial"/>
          <w:i/>
          <w:lang w:val="sk-SK"/>
        </w:rPr>
        <w:t xml:space="preserve">„Hoci viacero kórejských skupín v poslednej dobe na českom trhu veľmi aktívne hľadá investičné príležitosti, toto je po prvýkrát, kedy sa kórejskému investorovi podarilo dotiahnuť transakciu do úspešného konca. </w:t>
      </w:r>
      <w:proofErr w:type="spellStart"/>
      <w:r w:rsidRPr="00F222E7">
        <w:rPr>
          <w:rFonts w:ascii="Arial" w:eastAsia="Arial" w:hAnsi="Arial" w:cs="Arial"/>
          <w:i/>
          <w:lang w:val="sk-SK"/>
        </w:rPr>
        <w:t>Florenc</w:t>
      </w:r>
      <w:proofErr w:type="spellEnd"/>
      <w:r w:rsidRPr="00F222E7">
        <w:rPr>
          <w:rFonts w:ascii="Arial" w:eastAsia="Arial" w:hAnsi="Arial" w:cs="Arial"/>
          <w:i/>
          <w:lang w:val="sk-SK"/>
        </w:rPr>
        <w:t xml:space="preserve"> Office Center má pre nového investora mnoho výhod: atraktívnu lokalitu v centre Prahy, dlhodobú nájomnú zmluvu a poprednú globálnu spoločnosť ako nájomcu budovy. Preto je pre </w:t>
      </w:r>
      <w:proofErr w:type="spellStart"/>
      <w:r w:rsidRPr="00F222E7">
        <w:rPr>
          <w:rFonts w:ascii="Arial" w:eastAsia="Arial" w:hAnsi="Arial" w:cs="Arial"/>
          <w:i/>
          <w:lang w:val="sk-SK"/>
        </w:rPr>
        <w:t>Shinhan</w:t>
      </w:r>
      <w:proofErr w:type="spellEnd"/>
      <w:r w:rsidRPr="00F222E7">
        <w:rPr>
          <w:rFonts w:ascii="Arial" w:eastAsia="Arial" w:hAnsi="Arial" w:cs="Arial"/>
          <w:i/>
          <w:lang w:val="sk-SK"/>
        </w:rPr>
        <w:t xml:space="preserve"> ideálnou prvou akvizíciou pri vstupe na stredoeurópsky trh."</w:t>
      </w:r>
    </w:p>
    <w:p w14:paraId="00952FB4" w14:textId="77777777" w:rsidR="00A309E0" w:rsidRPr="00F222E7" w:rsidRDefault="00A309E0">
      <w:pPr>
        <w:spacing w:after="0"/>
        <w:jc w:val="both"/>
        <w:rPr>
          <w:rFonts w:ascii="Arial" w:eastAsia="Arial" w:hAnsi="Arial" w:cs="Arial"/>
          <w:b/>
          <w:i/>
          <w:sz w:val="20"/>
          <w:szCs w:val="20"/>
          <w:u w:val="single"/>
          <w:lang w:val="sk-SK"/>
        </w:rPr>
      </w:pPr>
    </w:p>
    <w:p w14:paraId="045F2B8F" w14:textId="77777777" w:rsidR="00A309E0" w:rsidRPr="000767A7" w:rsidRDefault="000767A7" w:rsidP="00B036C8">
      <w:pPr>
        <w:pStyle w:val="Bezmezer"/>
        <w:rPr>
          <w:rFonts w:ascii="Arial" w:hAnsi="Arial" w:cs="Arial"/>
          <w:b/>
          <w:sz w:val="20"/>
          <w:szCs w:val="20"/>
          <w:lang w:val="sk-SK"/>
        </w:rPr>
      </w:pPr>
      <w:r w:rsidRPr="000767A7">
        <w:rPr>
          <w:rFonts w:ascii="Arial" w:hAnsi="Arial" w:cs="Arial"/>
          <w:b/>
          <w:sz w:val="20"/>
          <w:szCs w:val="20"/>
          <w:lang w:val="sk-SK"/>
        </w:rPr>
        <w:t xml:space="preserve">Viac informácií o skupine </w:t>
      </w:r>
      <w:proofErr w:type="spellStart"/>
      <w:r w:rsidRPr="000767A7">
        <w:rPr>
          <w:rFonts w:ascii="Arial" w:hAnsi="Arial" w:cs="Arial"/>
          <w:b/>
          <w:sz w:val="20"/>
          <w:szCs w:val="20"/>
          <w:lang w:val="sk-SK"/>
        </w:rPr>
        <w:t>Mint</w:t>
      </w:r>
      <w:proofErr w:type="spellEnd"/>
      <w:r w:rsidRPr="000767A7">
        <w:rPr>
          <w:rFonts w:ascii="Arial" w:hAnsi="Arial" w:cs="Arial"/>
          <w:b/>
          <w:sz w:val="20"/>
          <w:szCs w:val="20"/>
          <w:lang w:val="sk-SK"/>
        </w:rPr>
        <w:t xml:space="preserve"> </w:t>
      </w:r>
      <w:proofErr w:type="spellStart"/>
      <w:r w:rsidRPr="000767A7">
        <w:rPr>
          <w:rFonts w:ascii="Arial" w:hAnsi="Arial" w:cs="Arial"/>
          <w:b/>
          <w:sz w:val="20"/>
          <w:szCs w:val="20"/>
          <w:lang w:val="sk-SK"/>
        </w:rPr>
        <w:t>Investments</w:t>
      </w:r>
      <w:proofErr w:type="spellEnd"/>
    </w:p>
    <w:p w14:paraId="5064CA4D" w14:textId="2C86DB59" w:rsidR="00A309E0" w:rsidRPr="000767A7" w:rsidRDefault="000767A7" w:rsidP="00B036C8">
      <w:pPr>
        <w:pStyle w:val="Bezmezer"/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0767A7">
        <w:rPr>
          <w:rFonts w:ascii="Arial" w:hAnsi="Arial" w:cs="Arial"/>
          <w:i/>
          <w:sz w:val="20"/>
          <w:szCs w:val="20"/>
          <w:lang w:val="sk-SK"/>
        </w:rPr>
        <w:t xml:space="preserve">Skupina </w:t>
      </w:r>
      <w:proofErr w:type="spellStart"/>
      <w:r w:rsidRPr="000767A7">
        <w:rPr>
          <w:rFonts w:ascii="Arial" w:hAnsi="Arial" w:cs="Arial"/>
          <w:i/>
          <w:sz w:val="20"/>
          <w:szCs w:val="20"/>
          <w:lang w:val="sk-SK"/>
        </w:rPr>
        <w:t>Mint</w:t>
      </w:r>
      <w:proofErr w:type="spellEnd"/>
      <w:r w:rsidRPr="000767A7">
        <w:rPr>
          <w:rFonts w:ascii="Arial" w:hAnsi="Arial" w:cs="Arial"/>
          <w:i/>
          <w:sz w:val="20"/>
          <w:szCs w:val="20"/>
          <w:lang w:val="sk-SK"/>
        </w:rPr>
        <w:t xml:space="preserve"> </w:t>
      </w:r>
      <w:proofErr w:type="spellStart"/>
      <w:r w:rsidRPr="000767A7">
        <w:rPr>
          <w:rFonts w:ascii="Arial" w:hAnsi="Arial" w:cs="Arial"/>
          <w:i/>
          <w:sz w:val="20"/>
          <w:szCs w:val="20"/>
          <w:lang w:val="sk-SK"/>
        </w:rPr>
        <w:t>Investments</w:t>
      </w:r>
      <w:proofErr w:type="spellEnd"/>
      <w:r w:rsidRPr="000767A7">
        <w:rPr>
          <w:rFonts w:ascii="Arial" w:hAnsi="Arial" w:cs="Arial"/>
          <w:i/>
          <w:sz w:val="20"/>
          <w:szCs w:val="20"/>
          <w:lang w:val="sk-SK"/>
        </w:rPr>
        <w:t xml:space="preserve"> pôsobí na trhu od roku 2002 a je jedným z popredných investorov do</w:t>
      </w:r>
      <w:r w:rsidR="007D4035">
        <w:rPr>
          <w:rFonts w:ascii="Arial" w:hAnsi="Arial" w:cs="Arial"/>
          <w:i/>
          <w:sz w:val="20"/>
          <w:szCs w:val="20"/>
          <w:lang w:val="sk-SK"/>
        </w:rPr>
        <w:t> </w:t>
      </w:r>
      <w:r w:rsidRPr="000767A7">
        <w:rPr>
          <w:rFonts w:ascii="Arial" w:hAnsi="Arial" w:cs="Arial"/>
          <w:i/>
          <w:sz w:val="20"/>
          <w:szCs w:val="20"/>
          <w:lang w:val="sk-SK"/>
        </w:rPr>
        <w:t>nehnuteľností v Českej republike a na Slovensku. Celková hodnota spravovaných nehnuteľností presahuje 600 mil. E</w:t>
      </w:r>
      <w:r w:rsidR="007D4035">
        <w:rPr>
          <w:rFonts w:ascii="Arial" w:hAnsi="Arial" w:cs="Arial"/>
          <w:i/>
          <w:sz w:val="20"/>
          <w:szCs w:val="20"/>
          <w:lang w:val="sk-SK"/>
        </w:rPr>
        <w:t>UR</w:t>
      </w:r>
      <w:r w:rsidRPr="000767A7">
        <w:rPr>
          <w:rFonts w:ascii="Arial" w:hAnsi="Arial" w:cs="Arial"/>
          <w:i/>
          <w:sz w:val="20"/>
          <w:szCs w:val="20"/>
          <w:lang w:val="sk-SK"/>
        </w:rPr>
        <w:t>.</w:t>
      </w:r>
      <w:r w:rsidR="007D4035">
        <w:rPr>
          <w:rFonts w:ascii="Arial" w:hAnsi="Arial" w:cs="Arial"/>
          <w:i/>
          <w:sz w:val="20"/>
          <w:szCs w:val="20"/>
          <w:lang w:val="sk-SK"/>
        </w:rPr>
        <w:t xml:space="preserve"> </w:t>
      </w:r>
      <w:proofErr w:type="spellStart"/>
      <w:r w:rsidRPr="000767A7">
        <w:rPr>
          <w:rFonts w:ascii="Arial" w:hAnsi="Arial" w:cs="Arial"/>
          <w:i/>
          <w:sz w:val="20"/>
          <w:szCs w:val="20"/>
          <w:lang w:val="sk-SK"/>
        </w:rPr>
        <w:t>Mint</w:t>
      </w:r>
      <w:proofErr w:type="spellEnd"/>
      <w:r w:rsidRPr="000767A7">
        <w:rPr>
          <w:rFonts w:ascii="Arial" w:hAnsi="Arial" w:cs="Arial"/>
          <w:i/>
          <w:sz w:val="20"/>
          <w:szCs w:val="20"/>
          <w:lang w:val="sk-SK"/>
        </w:rPr>
        <w:t xml:space="preserve"> </w:t>
      </w:r>
      <w:proofErr w:type="spellStart"/>
      <w:r w:rsidRPr="000767A7">
        <w:rPr>
          <w:rFonts w:ascii="Arial" w:hAnsi="Arial" w:cs="Arial"/>
          <w:i/>
          <w:sz w:val="20"/>
          <w:szCs w:val="20"/>
          <w:lang w:val="sk-SK"/>
        </w:rPr>
        <w:t>Investments</w:t>
      </w:r>
      <w:proofErr w:type="spellEnd"/>
      <w:r w:rsidRPr="000767A7">
        <w:rPr>
          <w:rFonts w:ascii="Arial" w:hAnsi="Arial" w:cs="Arial"/>
          <w:i/>
          <w:sz w:val="20"/>
          <w:szCs w:val="20"/>
          <w:lang w:val="sk-SK"/>
        </w:rPr>
        <w:t xml:space="preserve"> ponúka kompletnú škálu služieb spojených s investíciami do nehnuteľností a jej tím, tvoriaci viac ako 50 profesionálov, rieši všetky finančné, právne a technické aspekty správy investičných nehnuteľností a developerských projektov. Skupina je vlastnená 5</w:t>
      </w:r>
      <w:r w:rsidR="007D4035">
        <w:rPr>
          <w:rFonts w:ascii="Arial" w:hAnsi="Arial" w:cs="Arial"/>
          <w:i/>
          <w:sz w:val="20"/>
          <w:szCs w:val="20"/>
          <w:lang w:val="sk-SK"/>
        </w:rPr>
        <w:t> </w:t>
      </w:r>
      <w:r w:rsidRPr="000767A7">
        <w:rPr>
          <w:rFonts w:ascii="Arial" w:hAnsi="Arial" w:cs="Arial"/>
          <w:i/>
          <w:sz w:val="20"/>
          <w:szCs w:val="20"/>
          <w:lang w:val="sk-SK"/>
        </w:rPr>
        <w:t xml:space="preserve">partnermi. Všetci majú dlhodobé skúsenosti z významných medzinárodných finančných a realitných spoločností. Kľúčovým poslaním </w:t>
      </w:r>
      <w:proofErr w:type="spellStart"/>
      <w:r w:rsidRPr="000767A7">
        <w:rPr>
          <w:rFonts w:ascii="Arial" w:hAnsi="Arial" w:cs="Arial"/>
          <w:i/>
          <w:sz w:val="20"/>
          <w:szCs w:val="20"/>
          <w:lang w:val="sk-SK"/>
        </w:rPr>
        <w:t>Mint</w:t>
      </w:r>
      <w:proofErr w:type="spellEnd"/>
      <w:r w:rsidRPr="000767A7">
        <w:rPr>
          <w:rFonts w:ascii="Arial" w:hAnsi="Arial" w:cs="Arial"/>
          <w:i/>
          <w:sz w:val="20"/>
          <w:szCs w:val="20"/>
          <w:lang w:val="sk-SK"/>
        </w:rPr>
        <w:t xml:space="preserve"> </w:t>
      </w:r>
      <w:proofErr w:type="spellStart"/>
      <w:r w:rsidRPr="000767A7">
        <w:rPr>
          <w:rFonts w:ascii="Arial" w:hAnsi="Arial" w:cs="Arial"/>
          <w:i/>
          <w:sz w:val="20"/>
          <w:szCs w:val="20"/>
          <w:lang w:val="sk-SK"/>
        </w:rPr>
        <w:t>Investments</w:t>
      </w:r>
      <w:proofErr w:type="spellEnd"/>
      <w:r w:rsidRPr="000767A7">
        <w:rPr>
          <w:rFonts w:ascii="Arial" w:hAnsi="Arial" w:cs="Arial"/>
          <w:i/>
          <w:sz w:val="20"/>
          <w:szCs w:val="20"/>
          <w:lang w:val="sk-SK"/>
        </w:rPr>
        <w:t xml:space="preserve"> je generovať pre investorov nadpriemerné výnosy pri minimalizácii rizika. Spravuje prostriedky veľkých inštitucionálnych investorov aj viacerých privátnych investorov.</w:t>
      </w:r>
    </w:p>
    <w:p w14:paraId="45B1C2F7" w14:textId="77777777" w:rsidR="00A309E0" w:rsidRPr="000767A7" w:rsidRDefault="00886FF3" w:rsidP="00B036C8">
      <w:pPr>
        <w:pStyle w:val="Bezmezer"/>
        <w:rPr>
          <w:rFonts w:ascii="Arial" w:hAnsi="Arial" w:cs="Arial"/>
          <w:sz w:val="20"/>
          <w:szCs w:val="20"/>
          <w:lang w:val="sk-SK"/>
        </w:rPr>
      </w:pPr>
      <w:hyperlink r:id="rId6">
        <w:r w:rsidR="000767A7" w:rsidRPr="000767A7">
          <w:rPr>
            <w:rFonts w:ascii="Arial" w:hAnsi="Arial" w:cs="Arial"/>
            <w:color w:val="1155CC"/>
            <w:sz w:val="20"/>
            <w:szCs w:val="20"/>
            <w:u w:val="single"/>
            <w:lang w:val="sk-SK"/>
          </w:rPr>
          <w:t>www.mintgroup.cz</w:t>
        </w:r>
      </w:hyperlink>
      <w:r w:rsidR="000767A7" w:rsidRPr="000767A7">
        <w:rPr>
          <w:rFonts w:ascii="Arial" w:hAnsi="Arial" w:cs="Arial"/>
          <w:sz w:val="20"/>
          <w:szCs w:val="20"/>
          <w:lang w:val="sk-SK"/>
        </w:rPr>
        <w:t xml:space="preserve">   </w:t>
      </w:r>
    </w:p>
    <w:p w14:paraId="4F915326" w14:textId="77777777" w:rsidR="00A309E0" w:rsidRPr="00F222E7" w:rsidRDefault="00A309E0" w:rsidP="00B036C8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  <w:lang w:val="sk-SK"/>
        </w:rPr>
      </w:pPr>
    </w:p>
    <w:p w14:paraId="152FB558" w14:textId="77777777" w:rsidR="00A309E0" w:rsidRPr="00F222E7" w:rsidRDefault="000767A7" w:rsidP="00B036C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sk-SK"/>
        </w:rPr>
      </w:pPr>
      <w:r w:rsidRPr="00F222E7">
        <w:rPr>
          <w:rFonts w:ascii="Arial" w:eastAsia="Arial" w:hAnsi="Arial" w:cs="Arial"/>
          <w:b/>
          <w:sz w:val="20"/>
          <w:szCs w:val="20"/>
          <w:lang w:val="sk-SK"/>
        </w:rPr>
        <w:t xml:space="preserve">Viac informácií o banke </w:t>
      </w:r>
      <w:proofErr w:type="spellStart"/>
      <w:r w:rsidRPr="00F222E7">
        <w:rPr>
          <w:rFonts w:ascii="Arial" w:eastAsia="Arial" w:hAnsi="Arial" w:cs="Arial"/>
          <w:b/>
          <w:sz w:val="20"/>
          <w:szCs w:val="20"/>
          <w:lang w:val="sk-SK"/>
        </w:rPr>
        <w:t>Helaba</w:t>
      </w:r>
      <w:proofErr w:type="spellEnd"/>
    </w:p>
    <w:p w14:paraId="624CB0F5" w14:textId="3E2E705A" w:rsidR="00A309E0" w:rsidRPr="00F222E7" w:rsidRDefault="000767A7" w:rsidP="00B036C8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  <w:lang w:val="sk-SK"/>
        </w:rPr>
      </w:pPr>
      <w:proofErr w:type="spellStart"/>
      <w:r w:rsidRPr="00F222E7">
        <w:rPr>
          <w:rFonts w:ascii="Arial" w:eastAsia="Arial" w:hAnsi="Arial" w:cs="Arial"/>
          <w:i/>
          <w:sz w:val="20"/>
          <w:szCs w:val="20"/>
          <w:lang w:val="sk-SK"/>
        </w:rPr>
        <w:t>Helaba</w:t>
      </w:r>
      <w:proofErr w:type="spellEnd"/>
      <w:r w:rsidRPr="00F222E7">
        <w:rPr>
          <w:rFonts w:ascii="Arial" w:eastAsia="Arial" w:hAnsi="Arial" w:cs="Arial"/>
          <w:i/>
          <w:sz w:val="20"/>
          <w:szCs w:val="20"/>
          <w:lang w:val="sk-SK"/>
        </w:rPr>
        <w:t xml:space="preserve"> je nemecká banka, ktorá má ústredie vo Frankfurte a </w:t>
      </w:r>
      <w:proofErr w:type="spellStart"/>
      <w:r w:rsidRPr="00F222E7">
        <w:rPr>
          <w:rFonts w:ascii="Arial" w:eastAsia="Arial" w:hAnsi="Arial" w:cs="Arial"/>
          <w:i/>
          <w:sz w:val="20"/>
          <w:szCs w:val="20"/>
          <w:lang w:val="sk-SK"/>
        </w:rPr>
        <w:t>Erfurte</w:t>
      </w:r>
      <w:proofErr w:type="spellEnd"/>
      <w:r w:rsidRPr="00F222E7">
        <w:rPr>
          <w:rFonts w:ascii="Arial" w:eastAsia="Arial" w:hAnsi="Arial" w:cs="Arial"/>
          <w:i/>
          <w:sz w:val="20"/>
          <w:szCs w:val="20"/>
          <w:lang w:val="sk-SK"/>
        </w:rPr>
        <w:t xml:space="preserve"> a vo významných finančných metropolách po celom svete. Ako veriteľ s udržateľným obchodným modelom sa v realitnom odbore zameriava na komerčné nehnuteľnosti v Nemecku, Európe a USA. V regióne CEE banka pôsobí od</w:t>
      </w:r>
      <w:r w:rsidR="007D4035">
        <w:rPr>
          <w:rFonts w:ascii="Arial" w:eastAsia="Arial" w:hAnsi="Arial" w:cs="Arial"/>
          <w:i/>
          <w:sz w:val="20"/>
          <w:szCs w:val="20"/>
          <w:lang w:val="sk-SK"/>
        </w:rPr>
        <w:t> </w:t>
      </w:r>
      <w:r w:rsidRPr="00F222E7">
        <w:rPr>
          <w:rFonts w:ascii="Arial" w:eastAsia="Arial" w:hAnsi="Arial" w:cs="Arial"/>
          <w:i/>
          <w:sz w:val="20"/>
          <w:szCs w:val="20"/>
          <w:lang w:val="sk-SK"/>
        </w:rPr>
        <w:t xml:space="preserve">roku 2006. Financuje kancelárske, maloobchodné a logistické nehnuteľnosti v Českej republike, Poľsku a na </w:t>
      </w:r>
      <w:r w:rsidR="00F222E7">
        <w:rPr>
          <w:rFonts w:ascii="Arial" w:eastAsia="Arial" w:hAnsi="Arial" w:cs="Arial"/>
          <w:i/>
          <w:sz w:val="20"/>
          <w:szCs w:val="20"/>
          <w:lang w:val="sk-SK"/>
        </w:rPr>
        <w:t>S</w:t>
      </w:r>
      <w:r w:rsidRPr="00F222E7">
        <w:rPr>
          <w:rFonts w:ascii="Arial" w:eastAsia="Arial" w:hAnsi="Arial" w:cs="Arial"/>
          <w:i/>
          <w:sz w:val="20"/>
          <w:szCs w:val="20"/>
          <w:lang w:val="sk-SK"/>
        </w:rPr>
        <w:t>lovensku pre inštitucionálnych investorov, investičné fondy a realitné spoločnosti.</w:t>
      </w:r>
    </w:p>
    <w:p w14:paraId="332D857D" w14:textId="77777777" w:rsidR="00A309E0" w:rsidRPr="00F222E7" w:rsidRDefault="00886FF3" w:rsidP="00B036C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sk-SK"/>
        </w:rPr>
      </w:pPr>
      <w:hyperlink r:id="rId7">
        <w:r w:rsidR="000767A7" w:rsidRPr="00F222E7">
          <w:rPr>
            <w:rFonts w:ascii="Arial" w:eastAsia="Arial" w:hAnsi="Arial" w:cs="Arial"/>
            <w:color w:val="1155CC"/>
            <w:sz w:val="20"/>
            <w:szCs w:val="20"/>
            <w:u w:val="single"/>
            <w:lang w:val="sk-SK"/>
          </w:rPr>
          <w:t>https://www.helaba.com/</w:t>
        </w:r>
      </w:hyperlink>
      <w:r w:rsidR="000767A7" w:rsidRPr="00F222E7">
        <w:rPr>
          <w:rFonts w:ascii="Arial" w:eastAsia="Arial" w:hAnsi="Arial" w:cs="Arial"/>
          <w:sz w:val="20"/>
          <w:szCs w:val="20"/>
          <w:lang w:val="sk-SK"/>
        </w:rPr>
        <w:t xml:space="preserve"> </w:t>
      </w:r>
    </w:p>
    <w:p w14:paraId="7466E81F" w14:textId="77777777" w:rsidR="00A309E0" w:rsidRPr="00F222E7" w:rsidRDefault="00A309E0">
      <w:pPr>
        <w:spacing w:after="0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14:paraId="2AE3D3B1" w14:textId="77777777" w:rsidR="00A309E0" w:rsidRPr="00F222E7" w:rsidRDefault="00A309E0">
      <w:pPr>
        <w:spacing w:after="0"/>
        <w:jc w:val="both"/>
        <w:rPr>
          <w:rFonts w:ascii="Arial" w:eastAsia="Arial" w:hAnsi="Arial" w:cs="Arial"/>
          <w:i/>
          <w:sz w:val="20"/>
          <w:szCs w:val="20"/>
          <w:lang w:val="sk-SK"/>
        </w:rPr>
      </w:pPr>
    </w:p>
    <w:p w14:paraId="013CEC78" w14:textId="77777777" w:rsidR="00A309E0" w:rsidRPr="00F222E7" w:rsidRDefault="000767A7">
      <w:pPr>
        <w:spacing w:after="0"/>
        <w:jc w:val="both"/>
        <w:rPr>
          <w:rFonts w:ascii="Arial" w:eastAsia="Arial" w:hAnsi="Arial" w:cs="Arial"/>
          <w:b/>
          <w:i/>
          <w:sz w:val="20"/>
          <w:szCs w:val="20"/>
          <w:u w:val="single"/>
          <w:lang w:val="sk-SK"/>
        </w:rPr>
      </w:pPr>
      <w:r w:rsidRPr="00F222E7">
        <w:rPr>
          <w:rFonts w:ascii="Arial" w:eastAsia="Arial" w:hAnsi="Arial" w:cs="Arial"/>
          <w:b/>
          <w:i/>
          <w:sz w:val="20"/>
          <w:szCs w:val="20"/>
          <w:u w:val="single"/>
          <w:lang w:val="sk-SK"/>
        </w:rPr>
        <w:t>Kontakty pre média:</w:t>
      </w:r>
    </w:p>
    <w:p w14:paraId="19486FCB" w14:textId="77777777" w:rsidR="00A309E0" w:rsidRPr="00F222E7" w:rsidRDefault="000767A7">
      <w:pPr>
        <w:spacing w:after="0"/>
        <w:jc w:val="both"/>
        <w:rPr>
          <w:rFonts w:ascii="Arial" w:eastAsia="Arial" w:hAnsi="Arial" w:cs="Arial"/>
          <w:sz w:val="20"/>
          <w:szCs w:val="20"/>
          <w:lang w:val="sk-SK"/>
        </w:rPr>
      </w:pPr>
      <w:proofErr w:type="spellStart"/>
      <w:r w:rsidRPr="00F222E7">
        <w:rPr>
          <w:rFonts w:ascii="Arial" w:eastAsia="Arial" w:hAnsi="Arial" w:cs="Arial"/>
          <w:sz w:val="20"/>
          <w:szCs w:val="20"/>
          <w:lang w:val="sk-SK"/>
        </w:rPr>
        <w:t>Crest</w:t>
      </w:r>
      <w:proofErr w:type="spellEnd"/>
      <w:r w:rsidRPr="00F222E7">
        <w:rPr>
          <w:rFonts w:ascii="Arial" w:eastAsia="Arial" w:hAnsi="Arial" w:cs="Arial"/>
          <w:sz w:val="20"/>
          <w:szCs w:val="20"/>
          <w:lang w:val="sk-SK"/>
        </w:rPr>
        <w:t xml:space="preserve"> </w:t>
      </w:r>
      <w:proofErr w:type="spellStart"/>
      <w:r w:rsidRPr="00F222E7">
        <w:rPr>
          <w:rFonts w:ascii="Arial" w:eastAsia="Arial" w:hAnsi="Arial" w:cs="Arial"/>
          <w:sz w:val="20"/>
          <w:szCs w:val="20"/>
          <w:lang w:val="sk-SK"/>
        </w:rPr>
        <w:t>Communications</w:t>
      </w:r>
      <w:proofErr w:type="spellEnd"/>
    </w:p>
    <w:p w14:paraId="0AF57B11" w14:textId="263C25CE" w:rsidR="00A309E0" w:rsidRPr="00F222E7" w:rsidRDefault="000767A7">
      <w:pPr>
        <w:spacing w:after="0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F222E7">
        <w:rPr>
          <w:rFonts w:ascii="Arial" w:eastAsia="Arial" w:hAnsi="Arial" w:cs="Arial"/>
          <w:sz w:val="20"/>
          <w:szCs w:val="20"/>
          <w:lang w:val="sk-SK"/>
        </w:rPr>
        <w:t xml:space="preserve">Kamila Čadková, Kateřina </w:t>
      </w:r>
      <w:proofErr w:type="spellStart"/>
      <w:r w:rsidR="007D4035">
        <w:rPr>
          <w:rFonts w:ascii="Arial" w:eastAsia="Arial" w:hAnsi="Arial" w:cs="Arial"/>
          <w:sz w:val="20"/>
          <w:szCs w:val="20"/>
          <w:lang w:val="sk-SK"/>
        </w:rPr>
        <w:t>Krbcová</w:t>
      </w:r>
      <w:proofErr w:type="spellEnd"/>
      <w:r w:rsidR="007D4035">
        <w:rPr>
          <w:rFonts w:ascii="Arial" w:eastAsia="Arial" w:hAnsi="Arial" w:cs="Arial"/>
          <w:sz w:val="20"/>
          <w:szCs w:val="20"/>
          <w:lang w:val="sk-SK"/>
        </w:rPr>
        <w:t xml:space="preserve"> </w:t>
      </w:r>
      <w:r w:rsidRPr="00F222E7">
        <w:rPr>
          <w:rFonts w:ascii="Arial" w:eastAsia="Arial" w:hAnsi="Arial" w:cs="Arial"/>
          <w:sz w:val="20"/>
          <w:szCs w:val="20"/>
          <w:lang w:val="sk-SK"/>
        </w:rPr>
        <w:t>Lanková</w:t>
      </w:r>
    </w:p>
    <w:p w14:paraId="067F02A0" w14:textId="77777777" w:rsidR="00A309E0" w:rsidRPr="00F222E7" w:rsidRDefault="000767A7">
      <w:pPr>
        <w:spacing w:after="0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F222E7">
        <w:rPr>
          <w:rFonts w:ascii="Arial" w:eastAsia="Arial" w:hAnsi="Arial" w:cs="Arial"/>
          <w:sz w:val="20"/>
          <w:szCs w:val="20"/>
          <w:lang w:val="sk-SK"/>
        </w:rPr>
        <w:t xml:space="preserve">Tel.: 731 613 609, </w:t>
      </w:r>
      <w:r w:rsidRPr="00F222E7">
        <w:rPr>
          <w:rFonts w:ascii="Arial" w:eastAsia="Arial" w:hAnsi="Arial" w:cs="Arial"/>
          <w:color w:val="000000"/>
          <w:sz w:val="20"/>
          <w:szCs w:val="20"/>
          <w:lang w:val="sk-SK"/>
        </w:rPr>
        <w:t>775 899 353</w:t>
      </w:r>
    </w:p>
    <w:p w14:paraId="51945BE0" w14:textId="77777777" w:rsidR="00A309E0" w:rsidRPr="00F222E7" w:rsidRDefault="000767A7">
      <w:pPr>
        <w:spacing w:after="0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F222E7">
        <w:rPr>
          <w:rFonts w:ascii="Arial" w:eastAsia="Arial" w:hAnsi="Arial" w:cs="Arial"/>
          <w:sz w:val="20"/>
          <w:szCs w:val="20"/>
          <w:lang w:val="sk-SK"/>
        </w:rPr>
        <w:t xml:space="preserve">Mail: </w:t>
      </w:r>
      <w:hyperlink r:id="rId8">
        <w:r w:rsidRPr="00F222E7">
          <w:rPr>
            <w:rFonts w:ascii="Arial" w:eastAsia="Arial" w:hAnsi="Arial" w:cs="Arial"/>
            <w:color w:val="0563C1"/>
            <w:sz w:val="20"/>
            <w:szCs w:val="20"/>
            <w:u w:val="single"/>
            <w:lang w:val="sk-SK"/>
          </w:rPr>
          <w:t>kamila.cadkova@crestcom.cz</w:t>
        </w:r>
      </w:hyperlink>
      <w:r w:rsidRPr="00F222E7">
        <w:rPr>
          <w:rFonts w:ascii="Arial" w:eastAsia="Arial" w:hAnsi="Arial" w:cs="Arial"/>
          <w:color w:val="000000"/>
          <w:sz w:val="20"/>
          <w:szCs w:val="20"/>
          <w:lang w:val="sk-SK"/>
        </w:rPr>
        <w:t xml:space="preserve">; </w:t>
      </w:r>
      <w:r w:rsidRPr="00F222E7">
        <w:rPr>
          <w:rFonts w:ascii="Arial" w:eastAsia="Arial" w:hAnsi="Arial" w:cs="Arial"/>
          <w:color w:val="0563C1"/>
          <w:sz w:val="20"/>
          <w:szCs w:val="20"/>
          <w:u w:val="single"/>
          <w:lang w:val="sk-SK"/>
        </w:rPr>
        <w:t>katerina.lankova@crestcom.cz</w:t>
      </w:r>
    </w:p>
    <w:p w14:paraId="439574DB" w14:textId="77777777" w:rsidR="00A309E0" w:rsidRPr="00F222E7" w:rsidRDefault="00A309E0">
      <w:pPr>
        <w:rPr>
          <w:lang w:val="sk-SK"/>
        </w:rPr>
      </w:pPr>
    </w:p>
    <w:sectPr w:rsidR="00A309E0" w:rsidRPr="00F222E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09E0"/>
    <w:rsid w:val="000767A7"/>
    <w:rsid w:val="00464CA1"/>
    <w:rsid w:val="00723EB4"/>
    <w:rsid w:val="007D4035"/>
    <w:rsid w:val="00875DF2"/>
    <w:rsid w:val="00886FF3"/>
    <w:rsid w:val="00A309E0"/>
    <w:rsid w:val="00B036C8"/>
    <w:rsid w:val="00F2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6979"/>
  <w15:docId w15:val="{2391C5C6-985E-471F-ACEE-3A7278D2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sk-SK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076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lab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tgroup.c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Čadková</cp:lastModifiedBy>
  <cp:revision>8</cp:revision>
  <cp:lastPrinted>2019-01-16T09:11:00Z</cp:lastPrinted>
  <dcterms:created xsi:type="dcterms:W3CDTF">2019-01-15T06:31:00Z</dcterms:created>
  <dcterms:modified xsi:type="dcterms:W3CDTF">2019-01-16T09:15:00Z</dcterms:modified>
</cp:coreProperties>
</file>